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888888"/>
          <w:spacing w:val="0"/>
          <w:sz w:val="31"/>
          <w:szCs w:val="31"/>
          <w:bdr w:val="none" w:color="auto" w:sz="0" w:space="0"/>
          <w:shd w:val="clear" w:fill="FFFFFF"/>
        </w:rPr>
        <w:t>中国人民银行武汉分行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1"/>
          <w:szCs w:val="31"/>
          <w:bdr w:val="none" w:color="auto" w:sz="0" w:space="0"/>
          <w:shd w:val="clear" w:fill="FFFFFF"/>
        </w:rPr>
        <w:t>2018</w:t>
      </w:r>
      <w:r>
        <w:rPr>
          <w:rFonts w:hint="eastAsia" w:ascii="黑体" w:hAnsi="宋体" w:eastAsia="黑体" w:cs="黑体"/>
          <w:b w:val="0"/>
          <w:i w:val="0"/>
          <w:caps w:val="0"/>
          <w:color w:val="888888"/>
          <w:spacing w:val="0"/>
          <w:sz w:val="31"/>
          <w:szCs w:val="31"/>
          <w:bdr w:val="none" w:color="auto" w:sz="0" w:space="0"/>
          <w:shd w:val="clear" w:fill="FFFFFF"/>
        </w:rPr>
        <w:t>年度守库押运岗位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888888"/>
          <w:spacing w:val="0"/>
          <w:sz w:val="31"/>
          <w:szCs w:val="31"/>
          <w:bdr w:val="none" w:color="auto" w:sz="0" w:space="0"/>
          <w:shd w:val="clear" w:fill="FFFFFF"/>
        </w:rPr>
        <w:t>聘用制员工招聘体能测试标准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    </w:t>
      </w:r>
      <w:r>
        <w:rPr>
          <w:rFonts w:hint="eastAsia" w:ascii="黑体" w:hAnsi="宋体" w:eastAsia="黑体" w:cs="黑体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一、测试内容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5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守库押运岗位聘用制员工体能测试内容为仰卧起坐、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10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米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×4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往返跑、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800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米跑三个项目。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    </w:t>
      </w:r>
      <w:r>
        <w:rPr>
          <w:rFonts w:hint="eastAsia" w:ascii="黑体" w:hAnsi="宋体" w:eastAsia="黑体" w:cs="黑体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二、体能测试计分标准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总分实行百分制，三个项目分别计分为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100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分，将仰卧起坐、往返跑和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800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米跑的成绩按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3:3:4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的权重折算出最后的总分，单项均在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60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分及以上为合格，不合格者予以淘汰。三个项目总分为最终成绩。</w:t>
      </w:r>
    </w:p>
    <w:tbl>
      <w:tblPr>
        <w:tblW w:w="8364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2338"/>
        <w:gridCol w:w="4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tblCellSpacing w:w="15" w:type="dxa"/>
        </w:trPr>
        <w:tc>
          <w:tcPr>
            <w:tcW w:w="1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30"/>
                <w:szCs w:val="30"/>
                <w:bdr w:val="none" w:color="auto" w:sz="0" w:space="0"/>
              </w:rPr>
              <w:t>    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项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目</w:t>
            </w:r>
          </w:p>
        </w:tc>
        <w:tc>
          <w:tcPr>
            <w:tcW w:w="23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测试条件及方法</w:t>
            </w:r>
          </w:p>
        </w:tc>
        <w:tc>
          <w:tcPr>
            <w:tcW w:w="41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          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</w:trPr>
        <w:tc>
          <w:tcPr>
            <w:tcW w:w="1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仰卧起坐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100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分）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统一组织，分组实施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分钟内完成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25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次为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60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分，每增加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个，加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分，最高为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100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分。（总用时限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</w:trPr>
        <w:tc>
          <w:tcPr>
            <w:tcW w:w="1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米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×4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折返跑（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100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分）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统一组织，逐个实施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秒内完成为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60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分，时间每减少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0.5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秒，加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分，最高为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100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</w:trPr>
        <w:tc>
          <w:tcPr>
            <w:tcW w:w="18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800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米跑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100</w:t>
            </w:r>
            <w:r>
              <w:rPr>
                <w:rStyle w:val="4"/>
                <w:rFonts w:hint="default" w:ascii="仿宋_GB2312" w:hAnsi="微软雅黑" w:eastAsia="仿宋_GB2312" w:cs="仿宋_GB2312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分）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统一组织，分组实施</w:t>
            </w:r>
          </w:p>
        </w:tc>
        <w:tc>
          <w:tcPr>
            <w:tcW w:w="41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4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秒内完成为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60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分，时间每减少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秒，加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分，最高为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100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888888"/>
                <w:spacing w:val="0"/>
                <w:sz w:val="24"/>
                <w:szCs w:val="24"/>
                <w:bdr w:val="none" w:color="auto" w:sz="0" w:space="0"/>
              </w:rPr>
              <w:t>分。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三、体能测试规则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（一）仰卧起坐。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场地器材：垫子若干块，铺放平坦。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    2.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测试方法：测试按组进行，受测者全身仰卧于垫上，两脚屈膝稍分开，大小腿成直角，两手指交叉贴于脑后，另一人压住受测者两踝关节处。起坐时，以双肘触及或超过两膝为完成一次。仰卧时两肩胛必须触垫。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注意事项：动作应标准规范，受测者起坐时两肘未触及膝盖者，该次不计算。禁止使用肘部撑垫或臀部上挺和下落的力量起坐。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（二）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10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米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×4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往返跑。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      1.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场地器材：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10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米长的直线跑道若干条，在跑道的两端线（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）外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30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厘米处各划一条线（图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）。木块（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厘米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×10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厘米）每道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块，其中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块放在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线外的横线上，一块放在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线外的横线上，秒表若干块。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测试方法：受测者用站立式起跑，听到发令后从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线外起跑，当跑到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线前面，用一只手拿起一木块随即往回跑，跑到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线前时交换木块，再跑回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交换另一木块，最后持木块冲出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线，记录跑完全程的时间。记录以秒为单位，取一位小数，第二位小数非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“0”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时则进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       3.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注意事项：受测者取放木块时，脚不要越过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线。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  <w:bdr w:val="none" w:color="auto" w:sz="0" w:space="0"/>
          <w:shd w:val="clear" w:fill="FFFFFF"/>
        </w:rPr>
        <w:t>　　</w:t>
      </w:r>
    </w:p>
    <w:tbl>
      <w:tblPr>
        <w:tblW w:w="826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594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15" w:type="dxa"/>
        </w:trPr>
        <w:tc>
          <w:tcPr>
            <w:tcW w:w="1125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S1</w:t>
            </w:r>
          </w:p>
        </w:tc>
        <w:tc>
          <w:tcPr>
            <w:tcW w:w="5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S2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←→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大于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15" w:type="dxa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  <w:tc>
          <w:tcPr>
            <w:tcW w:w="591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←10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米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→</w:t>
            </w: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88888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Style w:val="4"/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 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（三）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800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米跑。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场地器材：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400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米田径跑道。地面平坦，地质不限，秒表若干块，使用前应进行校正。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测试方法：受测者分组不分道，采取站立式起跑。当听到口令或哨音后开始起跑。当受测者到达终点时停表，终点记录员负责登记每人成绩，登记成绩以分、秒为单位，不计小数。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注意事项：中途因摔倒、病痛退出考试场地的，视为自动放弃考试，成绩为零。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四、考生纪律要求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（一）考生要提前做好准备活动，避免受伤。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888888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888888"/>
          <w:spacing w:val="0"/>
          <w:sz w:val="30"/>
          <w:szCs w:val="30"/>
          <w:bdr w:val="none" w:color="auto" w:sz="0" w:space="0"/>
          <w:shd w:val="clear" w:fill="FFFFFF"/>
        </w:rPr>
        <w:t>（二）服从监考人员指挥，点名未到者视为自动放弃考试，如有弄虚作假或不服从管理的，视情况取消当科或全部成绩。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676F1"/>
    <w:rsid w:val="47A676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2018-06-27T05:37:00Z</dcterms:created>
  <dc:creator>Administrator</dc:creator>
  <cp:lastModifiedBy>Administrator</cp:lastModifiedBy>
  <dcterms:modified xsi:type="dcterms:W3CDTF">2018-06-27T05:38:12Z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