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  <w:tab w:val="left" w:pos="3960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附件2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2019年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湖北省人民银行系统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聘用制员工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招聘守库押运岗位体能测试标准</w:t>
      </w:r>
    </w:p>
    <w:p>
      <w:pPr>
        <w:spacing w:line="580" w:lineRule="exact"/>
        <w:jc w:val="center"/>
        <w:rPr>
          <w:rFonts w:eastAsia="黑体"/>
          <w:sz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0"/>
        </w:rPr>
        <w:t xml:space="preserve">   </w:t>
      </w: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</w:rPr>
        <w:t>一、测试内容</w:t>
      </w:r>
    </w:p>
    <w:p>
      <w:pPr>
        <w:tabs>
          <w:tab w:val="left" w:pos="3600"/>
          <w:tab w:val="left" w:pos="3960"/>
        </w:tabs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守库押运岗位聘用制员工体能测试内容为仰卧起坐、10米×4往返跑、800米跑三个项目。</w:t>
      </w:r>
    </w:p>
    <w:p>
      <w:pPr>
        <w:tabs>
          <w:tab w:val="left" w:pos="3600"/>
          <w:tab w:val="left" w:pos="3960"/>
        </w:tabs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</w:t>
      </w:r>
      <w:r>
        <w:rPr>
          <w:rFonts w:hint="eastAsia" w:eastAsia="黑体"/>
          <w:sz w:val="32"/>
          <w:szCs w:val="32"/>
        </w:rPr>
        <w:t>二、体能测试计分标准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总分实行百分制，三个项目分别计分为100分，将仰卧起坐、往返跑和800米跑的成绩按3:3:4的权重折算出最后的总分，单项均在60分及以上为合格，不合格者予以淘汰。三个项目总分为最终成绩。</w:t>
      </w:r>
    </w:p>
    <w:tbl>
      <w:tblPr>
        <w:tblStyle w:val="4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2568"/>
        <w:gridCol w:w="4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tblHeader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黑体"/>
                <w:sz w:val="30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</w:rPr>
              <w:t>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目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测试条件及方法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87" w:leftChars="-47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</w:t>
            </w:r>
            <w:r>
              <w:rPr>
                <w:rFonts w:hint="eastAsia" w:eastAsia="仿宋_GB2312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仰卧起坐</w:t>
            </w:r>
            <w:r>
              <w:rPr>
                <w:rFonts w:eastAsia="仿宋_GB2312"/>
                <w:b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100</w:t>
            </w:r>
            <w:r>
              <w:rPr>
                <w:rFonts w:hint="eastAsia" w:eastAsia="仿宋_GB2312"/>
                <w:b/>
                <w:sz w:val="24"/>
              </w:rPr>
              <w:t>分）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统一组织，分组实施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分钟内完成</w:t>
            </w:r>
            <w:r>
              <w:rPr>
                <w:rFonts w:eastAsia="仿宋_GB2312"/>
                <w:sz w:val="24"/>
              </w:rPr>
              <w:t>25</w:t>
            </w:r>
            <w:r>
              <w:rPr>
                <w:rFonts w:hint="eastAsia" w:eastAsia="仿宋_GB2312"/>
                <w:sz w:val="24"/>
              </w:rPr>
              <w:t>次为</w:t>
            </w:r>
            <w:r>
              <w:rPr>
                <w:rFonts w:eastAsia="仿宋_GB2312"/>
                <w:sz w:val="24"/>
              </w:rPr>
              <w:t>60</w:t>
            </w:r>
            <w:r>
              <w:rPr>
                <w:rFonts w:hint="eastAsia" w:eastAsia="仿宋_GB2312"/>
                <w:sz w:val="24"/>
              </w:rPr>
              <w:t>分，每增加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个，加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分，最高为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hint="eastAsia" w:eastAsia="仿宋_GB2312"/>
                <w:sz w:val="24"/>
              </w:rPr>
              <w:t>分。（总用时限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10</w:t>
            </w:r>
            <w:r>
              <w:rPr>
                <w:rFonts w:hint="eastAsia" w:eastAsia="仿宋_GB2312"/>
                <w:b/>
                <w:sz w:val="24"/>
              </w:rPr>
              <w:t>米</w:t>
            </w:r>
            <w:r>
              <w:rPr>
                <w:rFonts w:eastAsia="仿宋_GB2312"/>
                <w:b/>
                <w:sz w:val="24"/>
              </w:rPr>
              <w:t>×4</w:t>
            </w:r>
            <w:r>
              <w:rPr>
                <w:rFonts w:hint="eastAsia" w:eastAsia="仿宋_GB2312"/>
                <w:b/>
                <w:sz w:val="24"/>
              </w:rPr>
              <w:t>折返跑（</w:t>
            </w:r>
            <w:r>
              <w:rPr>
                <w:rFonts w:eastAsia="仿宋_GB2312"/>
                <w:b/>
                <w:sz w:val="24"/>
              </w:rPr>
              <w:t>100</w:t>
            </w:r>
            <w:r>
              <w:rPr>
                <w:rFonts w:hint="eastAsia" w:eastAsia="仿宋_GB2312"/>
                <w:b/>
                <w:sz w:val="24"/>
              </w:rPr>
              <w:t>分）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统一组织，逐个实施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color w:val="333333"/>
                <w:sz w:val="24"/>
              </w:rPr>
              <w:t>13</w:t>
            </w:r>
            <w:r>
              <w:rPr>
                <w:rFonts w:hint="eastAsia" w:eastAsia="仿宋_GB2312"/>
                <w:sz w:val="24"/>
              </w:rPr>
              <w:t>秒内完成为</w:t>
            </w:r>
            <w:r>
              <w:rPr>
                <w:rFonts w:eastAsia="仿宋_GB2312"/>
                <w:sz w:val="24"/>
              </w:rPr>
              <w:t>60</w:t>
            </w:r>
            <w:r>
              <w:rPr>
                <w:rFonts w:hint="eastAsia" w:eastAsia="仿宋_GB2312"/>
                <w:sz w:val="24"/>
              </w:rPr>
              <w:t>分，时间每减少</w:t>
            </w:r>
            <w:r>
              <w:rPr>
                <w:rFonts w:eastAsia="仿宋_GB2312"/>
                <w:sz w:val="24"/>
              </w:rPr>
              <w:t>0.5</w:t>
            </w:r>
            <w:r>
              <w:rPr>
                <w:rFonts w:hint="eastAsia" w:eastAsia="仿宋_GB2312"/>
                <w:sz w:val="24"/>
              </w:rPr>
              <w:t>秒，加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分，最高为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hint="eastAsia" w:eastAsia="仿宋_GB2312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800</w:t>
            </w:r>
            <w:r>
              <w:rPr>
                <w:rFonts w:hint="eastAsia" w:eastAsia="仿宋_GB2312"/>
                <w:b/>
                <w:sz w:val="24"/>
              </w:rPr>
              <w:t>米跑</w:t>
            </w:r>
            <w:r>
              <w:rPr>
                <w:rFonts w:eastAsia="仿宋_GB2312"/>
                <w:b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100</w:t>
            </w:r>
            <w:r>
              <w:rPr>
                <w:rFonts w:hint="eastAsia" w:eastAsia="仿宋_GB2312"/>
                <w:b/>
                <w:sz w:val="24"/>
              </w:rPr>
              <w:t>分）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统一组织，分组实施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hint="eastAsia" w:eastAsia="仿宋_GB2312"/>
                <w:sz w:val="24"/>
              </w:rPr>
              <w:t>秒内完成为</w:t>
            </w:r>
            <w:r>
              <w:rPr>
                <w:rFonts w:eastAsia="仿宋_GB2312"/>
                <w:sz w:val="24"/>
              </w:rPr>
              <w:t>60</w:t>
            </w:r>
            <w:r>
              <w:rPr>
                <w:rFonts w:hint="eastAsia" w:eastAsia="仿宋_GB2312"/>
                <w:sz w:val="24"/>
              </w:rPr>
              <w:t>分，时间每减少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秒，加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分，最高为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hint="eastAsia" w:eastAsia="仿宋_GB2312"/>
                <w:sz w:val="24"/>
              </w:rPr>
              <w:t>分。</w:t>
            </w:r>
          </w:p>
        </w:tc>
      </w:tr>
    </w:tbl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三、体能测试规则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（一）仰卧起坐。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1.场地器材：垫子若干块，铺放平坦。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测试方法：测试按组进行，受测者全身仰卧于垫上，两脚屈膝稍分开，大小腿成直角，两手指交叉贴于脑后，另一人压住受测者两踝关节处。起坐时，以双肘触及或超过两膝为完成一次。仰卧时两肩胛必须触垫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3.注意事项：动作应标准规范，受测者起坐时两肘未触及膝盖者，该次不计算。禁止使用肘部撑垫或臀部上挺和下落的力量起坐。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（二）10米×4往返跑。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1.场地器材：10米长的直线跑道若干条，在跑道的两端线（S1和S2）外30厘米处各划一条线（图1）。木块（5厘米×10厘米）每道3块，其中2块放在S2线外的横线上，一块放在S1线外的横线上，秒表若干块。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测试方法：受测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spacing w:line="580" w:lineRule="exact"/>
        <w:rPr>
          <w:rFonts w:eastAsia="仿宋_GB2312"/>
          <w:sz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3.注意事项：受测者取放木块时，脚不要越过S1和S2线。</w:t>
      </w:r>
    </w:p>
    <w:tbl>
      <w:tblPr>
        <w:tblStyle w:val="4"/>
        <w:tblW w:w="815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5907"/>
        <w:gridCol w:w="11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13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24"/>
              </w:rPr>
            </w:pPr>
          </w:p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24"/>
              </w:rPr>
            </w:pPr>
          </w:p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24"/>
              </w:rPr>
              <w:t>S1</w:t>
            </w:r>
          </w:p>
        </w:tc>
        <w:tc>
          <w:tcPr>
            <w:tcW w:w="590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18"/>
              </w:rPr>
            </w:pPr>
          </w:p>
        </w:tc>
        <w:tc>
          <w:tcPr>
            <w:tcW w:w="1116" w:type="dxa"/>
            <w:vMerge w:val="restart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</w:rPr>
            </w:pPr>
            <w:r>
              <w:rPr>
                <w:color w:val="333333"/>
                <w:sz w:val="24"/>
              </w:rPr>
              <w:t>S2</w:t>
            </w:r>
          </w:p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</w:rPr>
            </w:pPr>
            <w:r>
              <w:rPr>
                <w:color w:val="333333"/>
                <w:sz w:val="24"/>
              </w:rPr>
              <w:t>←→</w:t>
            </w:r>
          </w:p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18"/>
              </w:rPr>
            </w:pPr>
            <w:r>
              <w:rPr>
                <w:rFonts w:hint="eastAsia"/>
                <w:color w:val="333333"/>
              </w:rPr>
              <w:t>大于</w:t>
            </w:r>
            <w:r>
              <w:rPr>
                <w:color w:val="333333"/>
                <w:sz w:val="24"/>
              </w:rPr>
              <w:t>30cm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  <w:jc w:val="center"/>
        </w:trPr>
        <w:tc>
          <w:tcPr>
            <w:tcW w:w="11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590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18"/>
              </w:rPr>
            </w:pPr>
          </w:p>
        </w:tc>
        <w:tc>
          <w:tcPr>
            <w:tcW w:w="1116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color w:val="333333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  <w:jc w:val="center"/>
        </w:trPr>
        <w:tc>
          <w:tcPr>
            <w:tcW w:w="11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590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18"/>
              </w:rPr>
            </w:pPr>
          </w:p>
        </w:tc>
        <w:tc>
          <w:tcPr>
            <w:tcW w:w="1116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color w:val="333333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  <w:jc w:val="center"/>
        </w:trPr>
        <w:tc>
          <w:tcPr>
            <w:tcW w:w="11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590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</w:rPr>
            </w:pPr>
          </w:p>
        </w:tc>
        <w:tc>
          <w:tcPr>
            <w:tcW w:w="1116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color w:val="333333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  <w:jc w:val="center"/>
        </w:trPr>
        <w:tc>
          <w:tcPr>
            <w:tcW w:w="11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5907" w:type="dxa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before="225" w:after="225" w:line="300" w:lineRule="atLeast"/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24"/>
              </w:rPr>
              <w:t>←10</w:t>
            </w:r>
            <w:r>
              <w:rPr>
                <w:rFonts w:hint="eastAsia"/>
                <w:color w:val="333333"/>
                <w:sz w:val="24"/>
              </w:rPr>
              <w:t>米</w:t>
            </w:r>
            <w:r>
              <w:rPr>
                <w:color w:val="333333"/>
                <w:sz w:val="24"/>
              </w:rPr>
              <w:t>→</w:t>
            </w:r>
          </w:p>
        </w:tc>
        <w:tc>
          <w:tcPr>
            <w:tcW w:w="1116" w:type="dxa"/>
            <w:vMerge w:val="continue"/>
            <w:tcBorders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color w:val="333333"/>
                <w:sz w:val="18"/>
              </w:rPr>
            </w:pPr>
          </w:p>
        </w:tc>
      </w:tr>
    </w:tbl>
    <w:p>
      <w:pPr>
        <w:spacing w:line="560" w:lineRule="exact"/>
        <w:jc w:val="center"/>
        <w:rPr>
          <w:rFonts w:eastAsia="仿宋_GB2312"/>
          <w:b/>
          <w:color w:val="333333"/>
          <w:sz w:val="24"/>
        </w:rPr>
      </w:pPr>
      <w:r>
        <w:rPr>
          <w:rFonts w:hint="eastAsia" w:eastAsia="仿宋_GB2312"/>
          <w:b/>
          <w:color w:val="333333"/>
          <w:sz w:val="24"/>
        </w:rPr>
        <w:t>图</w:t>
      </w:r>
      <w:r>
        <w:rPr>
          <w:rFonts w:eastAsia="仿宋_GB2312"/>
          <w:b/>
          <w:color w:val="333333"/>
          <w:sz w:val="24"/>
        </w:rPr>
        <w:t>1</w:t>
      </w:r>
    </w:p>
    <w:p>
      <w:pPr>
        <w:spacing w:line="580" w:lineRule="exact"/>
        <w:rPr>
          <w:rFonts w:hint="eastAsia" w:ascii="仿宋_GB2312" w:hAnsi="仿宋_GB2312" w:eastAsia="仿宋_GB2312" w:cs="仿宋_GB2312"/>
          <w:b/>
          <w:color w:val="333333"/>
          <w:sz w:val="32"/>
          <w:szCs w:val="32"/>
        </w:rPr>
      </w:pPr>
      <w:r>
        <w:rPr>
          <w:rFonts w:eastAsia="仿宋_GB2312"/>
          <w:sz w:val="30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（三）800米跑。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1.场地器材：400米田径跑道。地面平坦，地质不限，秒表若干块，使用前应进行校正。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2.测试方法：受测者分组不分道，采取站立式起跑。当听到口令或哨音后开始起跑。当受测者到达终点时停表，终点记录员负责登记每人成绩，登记成绩以分、秒为单位，不计小数。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3.注意事项：中途因摔倒、病痛退出考试场地的，视为自动放弃考试，成绩为零。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四、考生纪律要求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（一）考生要提前做好准备活动，避免受伤。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（二）服从监考人员指挥，点名未到者视为自动放弃考试，如有弄虚作假或不服从管理的，视情况取消当科或全部成绩。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4C9"/>
    <w:rsid w:val="00085909"/>
    <w:rsid w:val="00A17222"/>
    <w:rsid w:val="00AD54C9"/>
    <w:rsid w:val="14BC5E32"/>
    <w:rsid w:val="3DA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1067</Characters>
  <Lines>8</Lines>
  <Paragraphs>2</Paragraphs>
  <TotalTime>1</TotalTime>
  <ScaleCrop>false</ScaleCrop>
  <LinksUpToDate>false</LinksUpToDate>
  <CharactersWithSpaces>1252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2019-04-15T13:16:00Z</dcterms:created>
  <dc:creator>User</dc:creator>
  <cp:lastModifiedBy>zhao</cp:lastModifiedBy>
  <dcterms:modified xsi:type="dcterms:W3CDTF">2019-04-16T05:05:59Z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